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1E" w:rsidRDefault="00F846A2" w:rsidP="00F846A2">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Name: 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sidRPr="00F846A2">
        <w:rPr>
          <w:rFonts w:ascii="Times New Roman" w:hAnsi="Times New Roman" w:cs="Times New Roman"/>
          <w:bCs/>
          <w:sz w:val="24"/>
          <w:szCs w:val="24"/>
        </w:rPr>
        <w:t>Pennieum</w:t>
      </w:r>
      <w:proofErr w:type="spellEnd"/>
      <w:r>
        <w:rPr>
          <w:rFonts w:ascii="Times New Roman" w:hAnsi="Times New Roman" w:cs="Times New Roman"/>
          <w:bCs/>
          <w:sz w:val="24"/>
          <w:szCs w:val="24"/>
        </w:rPr>
        <w:t xml:space="preserve"> Bag # ________</w:t>
      </w:r>
    </w:p>
    <w:p w:rsidR="00F846A2" w:rsidRPr="00F846A2" w:rsidRDefault="00F846A2" w:rsidP="00F846A2">
      <w:pPr>
        <w:autoSpaceDE w:val="0"/>
        <w:autoSpaceDN w:val="0"/>
        <w:adjustRightInd w:val="0"/>
        <w:spacing w:after="0"/>
        <w:rPr>
          <w:rFonts w:ascii="Times New Roman" w:hAnsi="Times New Roman" w:cs="Times New Roman"/>
          <w:bCs/>
          <w:sz w:val="24"/>
          <w:szCs w:val="24"/>
        </w:rPr>
      </w:pPr>
    </w:p>
    <w:p w:rsidR="00AB411E" w:rsidRPr="00F846A2" w:rsidRDefault="00AB411E" w:rsidP="00AB411E">
      <w:pPr>
        <w:autoSpaceDE w:val="0"/>
        <w:autoSpaceDN w:val="0"/>
        <w:adjustRightInd w:val="0"/>
        <w:spacing w:after="0"/>
        <w:jc w:val="center"/>
        <w:rPr>
          <w:rFonts w:ascii="Times New Roman" w:hAnsi="Times New Roman" w:cs="Times New Roman"/>
          <w:b/>
          <w:bCs/>
          <w:sz w:val="24"/>
          <w:szCs w:val="24"/>
        </w:rPr>
      </w:pPr>
      <w:r w:rsidRPr="00F846A2">
        <w:rPr>
          <w:rFonts w:ascii="Times New Roman" w:hAnsi="Times New Roman" w:cs="Times New Roman"/>
          <w:b/>
          <w:bCs/>
          <w:sz w:val="24"/>
          <w:szCs w:val="24"/>
        </w:rPr>
        <w:t xml:space="preserve">Half-life: Determining and Graphing the Half-life of </w:t>
      </w:r>
      <w:proofErr w:type="spellStart"/>
      <w:r w:rsidR="00F846A2">
        <w:rPr>
          <w:rFonts w:ascii="Times New Roman" w:hAnsi="Times New Roman" w:cs="Times New Roman"/>
          <w:b/>
          <w:bCs/>
          <w:sz w:val="24"/>
          <w:szCs w:val="24"/>
        </w:rPr>
        <w:t>Pennieum</w:t>
      </w:r>
      <w:proofErr w:type="spellEnd"/>
    </w:p>
    <w:p w:rsidR="00AB411E" w:rsidRPr="00F846A2" w:rsidRDefault="00AB411E" w:rsidP="00AB411E">
      <w:p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b/>
          <w:bCs/>
          <w:sz w:val="24"/>
          <w:szCs w:val="24"/>
        </w:rPr>
        <w:t xml:space="preserve">Background: </w:t>
      </w:r>
      <w:r w:rsidRPr="00F846A2">
        <w:rPr>
          <w:rFonts w:ascii="Times New Roman" w:hAnsi="Times New Roman" w:cs="Times New Roman"/>
          <w:sz w:val="24"/>
          <w:szCs w:val="24"/>
        </w:rPr>
        <w:t>You should know the term “half-life” and know how it is related to radioactive</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elements. The half-life of a radioactive element is the time it takes for half of its atoms to decay into</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something else. For example, iodine-125 (I-125) has a half-life of about 60 days; therefore, in 60 days,</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1g of Iodine-125 will turn into 0.5 g of Iodine-125 and 0.5 g of something else.  After another 60 days have elapsed, only a ¼ of the original 1g or 0.25 g of I-125</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will remain.</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AB411E" w:rsidP="00AB411E">
      <w:p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b/>
          <w:bCs/>
          <w:sz w:val="24"/>
          <w:szCs w:val="24"/>
        </w:rPr>
        <w:t xml:space="preserve">Purpose: </w:t>
      </w:r>
      <w:r w:rsidRPr="00F846A2">
        <w:rPr>
          <w:rFonts w:ascii="Times New Roman" w:hAnsi="Times New Roman" w:cs="Times New Roman"/>
          <w:sz w:val="24"/>
          <w:szCs w:val="24"/>
        </w:rPr>
        <w:t xml:space="preserve">To determine the half-life of the element </w:t>
      </w:r>
      <w:proofErr w:type="spellStart"/>
      <w:r w:rsidR="00F846A2" w:rsidRPr="00F846A2">
        <w:rPr>
          <w:rFonts w:ascii="Times New Roman" w:hAnsi="Times New Roman" w:cs="Times New Roman"/>
          <w:bCs/>
          <w:sz w:val="24"/>
          <w:szCs w:val="24"/>
        </w:rPr>
        <w:t>Pennieum</w:t>
      </w:r>
      <w:proofErr w:type="spellEnd"/>
      <w:r w:rsidRPr="00F846A2">
        <w:rPr>
          <w:rFonts w:ascii="Times New Roman" w:hAnsi="Times New Roman" w:cs="Times New Roman"/>
          <w:sz w:val="24"/>
          <w:szCs w:val="24"/>
        </w:rPr>
        <w:t>.</w:t>
      </w:r>
    </w:p>
    <w:p w:rsidR="00AB411E" w:rsidRPr="00F846A2" w:rsidRDefault="00AB411E" w:rsidP="00AB411E">
      <w:pPr>
        <w:autoSpaceDE w:val="0"/>
        <w:autoSpaceDN w:val="0"/>
        <w:adjustRightInd w:val="0"/>
        <w:spacing w:after="0"/>
        <w:rPr>
          <w:rFonts w:ascii="Times New Roman" w:hAnsi="Times New Roman" w:cs="Times New Roman"/>
          <w:b/>
          <w:bCs/>
          <w:sz w:val="16"/>
          <w:szCs w:val="16"/>
        </w:rPr>
      </w:pPr>
    </w:p>
    <w:p w:rsidR="00AB411E" w:rsidRPr="00F846A2" w:rsidRDefault="00AB411E" w:rsidP="00AB411E">
      <w:pPr>
        <w:autoSpaceDE w:val="0"/>
        <w:autoSpaceDN w:val="0"/>
        <w:adjustRightInd w:val="0"/>
        <w:spacing w:after="0"/>
        <w:rPr>
          <w:rFonts w:ascii="Times New Roman" w:hAnsi="Times New Roman" w:cs="Times New Roman"/>
          <w:b/>
          <w:bCs/>
          <w:sz w:val="24"/>
          <w:szCs w:val="24"/>
        </w:rPr>
      </w:pPr>
      <w:r w:rsidRPr="00F846A2">
        <w:rPr>
          <w:rFonts w:ascii="Times New Roman" w:hAnsi="Times New Roman" w:cs="Times New Roman"/>
          <w:b/>
          <w:bCs/>
          <w:sz w:val="24"/>
          <w:szCs w:val="24"/>
        </w:rPr>
        <w:t>Materials:</w:t>
      </w:r>
    </w:p>
    <w:p w:rsidR="00AB411E" w:rsidRPr="00F846A2" w:rsidRDefault="00AB411E" w:rsidP="00AB411E">
      <w:p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 xml:space="preserve">Bag of </w:t>
      </w:r>
      <w:proofErr w:type="spellStart"/>
      <w:r w:rsidR="00F846A2" w:rsidRPr="00F846A2">
        <w:rPr>
          <w:rFonts w:ascii="Times New Roman" w:hAnsi="Times New Roman" w:cs="Times New Roman"/>
          <w:bCs/>
          <w:sz w:val="24"/>
          <w:szCs w:val="24"/>
        </w:rPr>
        <w:t>Pennieum</w:t>
      </w:r>
      <w:proofErr w:type="spellEnd"/>
      <w:r w:rsidRPr="00F846A2">
        <w:rPr>
          <w:rFonts w:ascii="Times New Roman" w:hAnsi="Times New Roman" w:cs="Times New Roman"/>
          <w:sz w:val="24"/>
          <w:szCs w:val="24"/>
        </w:rPr>
        <w:t xml:space="preserve"> Isotopes</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 xml:space="preserve">Radioactive members of this isotope family are easily distinguished via a </w:t>
      </w:r>
      <w:r w:rsidR="00F846A2">
        <w:rPr>
          <w:rFonts w:ascii="Times New Roman" w:hAnsi="Times New Roman" w:cs="Times New Roman"/>
          <w:sz w:val="24"/>
          <w:szCs w:val="24"/>
        </w:rPr>
        <w:t>copper face</w:t>
      </w:r>
      <w:r w:rsidRPr="00F846A2">
        <w:rPr>
          <w:rFonts w:ascii="Times New Roman" w:hAnsi="Times New Roman" w:cs="Times New Roman"/>
          <w:b/>
          <w:bCs/>
          <w:sz w:val="24"/>
          <w:szCs w:val="24"/>
        </w:rPr>
        <w:t xml:space="preserve"> </w:t>
      </w:r>
      <w:r w:rsidRPr="00F846A2">
        <w:rPr>
          <w:rFonts w:ascii="Times New Roman" w:hAnsi="Times New Roman" w:cs="Times New Roman"/>
          <w:sz w:val="24"/>
          <w:szCs w:val="24"/>
        </w:rPr>
        <w:t>on</w:t>
      </w:r>
      <w:r w:rsidR="00F846A2">
        <w:rPr>
          <w:rFonts w:ascii="Times New Roman" w:hAnsi="Times New Roman" w:cs="Times New Roman"/>
          <w:sz w:val="24"/>
          <w:szCs w:val="24"/>
        </w:rPr>
        <w:t xml:space="preserve"> the front surface of the atom), 1 plastic cup, and a </w:t>
      </w:r>
      <w:r w:rsidRPr="00F846A2">
        <w:rPr>
          <w:rFonts w:ascii="Times New Roman" w:hAnsi="Times New Roman" w:cs="Times New Roman"/>
          <w:sz w:val="24"/>
          <w:szCs w:val="24"/>
        </w:rPr>
        <w:t>pencil/pe</w:t>
      </w:r>
      <w:r w:rsidR="00F846A2">
        <w:rPr>
          <w:rFonts w:ascii="Times New Roman" w:hAnsi="Times New Roman" w:cs="Times New Roman"/>
          <w:sz w:val="24"/>
          <w:szCs w:val="24"/>
        </w:rPr>
        <w:t>n</w:t>
      </w:r>
      <w:r w:rsidR="00F846A2">
        <w:rPr>
          <w:rFonts w:ascii="Times New Roman" w:hAnsi="Times New Roman" w:cs="Times New Roman"/>
          <w:sz w:val="24"/>
          <w:szCs w:val="24"/>
        </w:rPr>
        <w:tab/>
      </w:r>
      <w:r w:rsidR="00F846A2">
        <w:rPr>
          <w:rFonts w:ascii="Times New Roman" w:hAnsi="Times New Roman" w:cs="Times New Roman"/>
          <w:sz w:val="24"/>
          <w:szCs w:val="24"/>
        </w:rPr>
        <w:tab/>
      </w:r>
    </w:p>
    <w:p w:rsidR="00AB411E" w:rsidRPr="00F846A2" w:rsidRDefault="00AB411E" w:rsidP="00AB411E">
      <w:pPr>
        <w:autoSpaceDE w:val="0"/>
        <w:autoSpaceDN w:val="0"/>
        <w:adjustRightInd w:val="0"/>
        <w:spacing w:after="0"/>
        <w:rPr>
          <w:rFonts w:ascii="Times New Roman" w:hAnsi="Times New Roman" w:cs="Times New Roman"/>
          <w:b/>
          <w:bCs/>
          <w:sz w:val="16"/>
          <w:szCs w:val="16"/>
        </w:rPr>
      </w:pPr>
    </w:p>
    <w:p w:rsidR="00AB411E" w:rsidRPr="00F846A2" w:rsidRDefault="00AB411E" w:rsidP="00AB411E">
      <w:pPr>
        <w:autoSpaceDE w:val="0"/>
        <w:autoSpaceDN w:val="0"/>
        <w:adjustRightInd w:val="0"/>
        <w:spacing w:after="0"/>
        <w:rPr>
          <w:rFonts w:ascii="Times New Roman" w:hAnsi="Times New Roman" w:cs="Times New Roman"/>
          <w:b/>
          <w:bCs/>
          <w:sz w:val="24"/>
          <w:szCs w:val="24"/>
        </w:rPr>
      </w:pPr>
      <w:r w:rsidRPr="00F846A2">
        <w:rPr>
          <w:rFonts w:ascii="Times New Roman" w:hAnsi="Times New Roman" w:cs="Times New Roman"/>
          <w:b/>
          <w:bCs/>
          <w:sz w:val="24"/>
          <w:szCs w:val="24"/>
        </w:rPr>
        <w:t>Procedure:</w:t>
      </w:r>
    </w:p>
    <w:p w:rsidR="00AB411E" w:rsidRPr="00F846A2" w:rsidRDefault="00AB411E" w:rsidP="00AB411E">
      <w:pPr>
        <w:pStyle w:val="ListParagraph"/>
        <w:numPr>
          <w:ilvl w:val="0"/>
          <w:numId w:val="1"/>
        </w:num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 xml:space="preserve">Count the number of </w:t>
      </w:r>
      <w:proofErr w:type="spellStart"/>
      <w:r w:rsidR="00F846A2" w:rsidRPr="00F846A2">
        <w:rPr>
          <w:rFonts w:ascii="Times New Roman" w:hAnsi="Times New Roman" w:cs="Times New Roman"/>
          <w:bCs/>
          <w:sz w:val="24"/>
          <w:szCs w:val="24"/>
        </w:rPr>
        <w:t>Pennieum</w:t>
      </w:r>
      <w:proofErr w:type="spellEnd"/>
      <w:r w:rsidR="00F846A2" w:rsidRPr="00F846A2">
        <w:rPr>
          <w:rFonts w:ascii="Times New Roman" w:hAnsi="Times New Roman" w:cs="Times New Roman"/>
          <w:sz w:val="24"/>
          <w:szCs w:val="24"/>
        </w:rPr>
        <w:t xml:space="preserve"> </w:t>
      </w:r>
      <w:r w:rsidRPr="00F846A2">
        <w:rPr>
          <w:rFonts w:ascii="Times New Roman" w:hAnsi="Times New Roman" w:cs="Times New Roman"/>
          <w:sz w:val="24"/>
          <w:szCs w:val="24"/>
        </w:rPr>
        <w:t>atoms as you place them in the cup. They are all initially radioactive. Record the total number of</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radioactive atoms you start with in your data table.</w:t>
      </w:r>
    </w:p>
    <w:p w:rsidR="00AB411E" w:rsidRPr="00F846A2" w:rsidRDefault="00AB411E" w:rsidP="00AB411E">
      <w:pPr>
        <w:pStyle w:val="ListParagraph"/>
        <w:autoSpaceDE w:val="0"/>
        <w:autoSpaceDN w:val="0"/>
        <w:adjustRightInd w:val="0"/>
        <w:spacing w:after="0"/>
        <w:rPr>
          <w:rFonts w:ascii="Times New Roman" w:hAnsi="Times New Roman" w:cs="Times New Roman"/>
          <w:sz w:val="16"/>
          <w:szCs w:val="16"/>
        </w:rPr>
      </w:pPr>
    </w:p>
    <w:p w:rsidR="00AB411E" w:rsidRPr="00F846A2" w:rsidRDefault="00AB411E" w:rsidP="00AB411E">
      <w:pPr>
        <w:pStyle w:val="ListParagraph"/>
        <w:numPr>
          <w:ilvl w:val="0"/>
          <w:numId w:val="1"/>
        </w:num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Cover and shake/rattle the cup.</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AB411E" w:rsidP="00AB411E">
      <w:pPr>
        <w:pStyle w:val="ListParagraph"/>
        <w:numPr>
          <w:ilvl w:val="0"/>
          <w:numId w:val="1"/>
        </w:num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Carefully pour your atoms onto your white paper. You will see that some of the sample is still radioactive because you can visibly</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 xml:space="preserve">see the </w:t>
      </w:r>
      <w:r w:rsidR="00F846A2">
        <w:rPr>
          <w:rFonts w:ascii="Times New Roman" w:hAnsi="Times New Roman" w:cs="Times New Roman"/>
          <w:bCs/>
          <w:sz w:val="24"/>
          <w:szCs w:val="24"/>
        </w:rPr>
        <w:t>copper face</w:t>
      </w:r>
      <w:r w:rsidRPr="00F846A2">
        <w:rPr>
          <w:rFonts w:ascii="Times New Roman" w:hAnsi="Times New Roman" w:cs="Times New Roman"/>
          <w:b/>
          <w:bCs/>
          <w:sz w:val="24"/>
          <w:szCs w:val="24"/>
        </w:rPr>
        <w:t xml:space="preserve">.  </w:t>
      </w:r>
      <w:r w:rsidRPr="00F846A2">
        <w:rPr>
          <w:rFonts w:ascii="Times New Roman" w:hAnsi="Times New Roman" w:cs="Times New Roman"/>
          <w:sz w:val="24"/>
          <w:szCs w:val="24"/>
        </w:rPr>
        <w:t xml:space="preserve"> You may also notice that some of the radioactive atoms in the group have decayed. You will know that they have decayed because the </w:t>
      </w:r>
      <w:r w:rsidR="00F846A2">
        <w:rPr>
          <w:rFonts w:ascii="Times New Roman" w:hAnsi="Times New Roman" w:cs="Times New Roman"/>
          <w:bCs/>
          <w:sz w:val="24"/>
          <w:szCs w:val="24"/>
        </w:rPr>
        <w:t>face</w:t>
      </w:r>
      <w:r w:rsidRPr="00F846A2">
        <w:rPr>
          <w:rFonts w:ascii="Times New Roman" w:hAnsi="Times New Roman" w:cs="Times New Roman"/>
          <w:sz w:val="24"/>
          <w:szCs w:val="24"/>
        </w:rPr>
        <w:t xml:space="preserve"> is not visible or facing up. This means that</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they are now considered "safe".</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Since</w:t>
      </w:r>
      <w:r w:rsidR="00F846A2">
        <w:rPr>
          <w:rFonts w:ascii="Times New Roman" w:hAnsi="Times New Roman" w:cs="Times New Roman"/>
          <w:sz w:val="24"/>
          <w:szCs w:val="24"/>
        </w:rPr>
        <w:t xml:space="preserve"> </w:t>
      </w:r>
      <w:r w:rsidRPr="00F846A2">
        <w:rPr>
          <w:rFonts w:ascii="Times New Roman" w:hAnsi="Times New Roman" w:cs="Times New Roman"/>
          <w:sz w:val="24"/>
          <w:szCs w:val="24"/>
        </w:rPr>
        <w:t>they are no longer radioactive, you can remove them safely.  Pull them out of the sample and place to the side.</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AB411E" w:rsidP="00AB411E">
      <w:pPr>
        <w:pStyle w:val="ListParagraph"/>
        <w:numPr>
          <w:ilvl w:val="0"/>
          <w:numId w:val="1"/>
        </w:num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Count the remaining radioactive atoms in the sample.  Record in the data table how many atoms are still radioactive.</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AB411E" w:rsidP="00AB411E">
      <w:pPr>
        <w:pStyle w:val="ListParagraph"/>
        <w:numPr>
          <w:ilvl w:val="0"/>
          <w:numId w:val="1"/>
        </w:num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Place the remaining radioactive atoms back in the cup and shake and pour again.  Once again remove the safe atoms and record the number of radioactive isotopes still left. You need to continue this pattern until no more radioactive members remain.</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F846A2" w:rsidP="00AB411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must complete two trials before calculating your average</w:t>
      </w:r>
    </w:p>
    <w:p w:rsidR="00AB411E" w:rsidRPr="00F846A2" w:rsidRDefault="00AB411E" w:rsidP="00AB411E">
      <w:pPr>
        <w:autoSpaceDE w:val="0"/>
        <w:autoSpaceDN w:val="0"/>
        <w:adjustRightInd w:val="0"/>
        <w:spacing w:after="0"/>
        <w:rPr>
          <w:rFonts w:ascii="Times New Roman" w:hAnsi="Times New Roman" w:cs="Times New Roman"/>
          <w:sz w:val="16"/>
          <w:szCs w:val="16"/>
        </w:rPr>
      </w:pPr>
    </w:p>
    <w:p w:rsidR="00AB411E" w:rsidRPr="00F846A2" w:rsidRDefault="00F846A2" w:rsidP="00AB411E">
      <w:pPr>
        <w:autoSpaceDE w:val="0"/>
        <w:autoSpaceDN w:val="0"/>
        <w:adjustRightInd w:val="0"/>
        <w:spacing w:after="0"/>
        <w:jc w:val="center"/>
        <w:rPr>
          <w:rFonts w:ascii="Times New Roman" w:hAnsi="Times New Roman" w:cs="Times New Roman"/>
          <w:b/>
          <w:bCs/>
          <w:sz w:val="24"/>
          <w:szCs w:val="24"/>
        </w:rPr>
      </w:pPr>
      <w:proofErr w:type="spellStart"/>
      <w:r w:rsidRPr="00F846A2">
        <w:rPr>
          <w:rFonts w:ascii="Times New Roman" w:hAnsi="Times New Roman" w:cs="Times New Roman"/>
          <w:b/>
          <w:bCs/>
          <w:sz w:val="24"/>
          <w:szCs w:val="24"/>
        </w:rPr>
        <w:t>Pennieum</w:t>
      </w:r>
      <w:proofErr w:type="spellEnd"/>
      <w:r w:rsidR="00AB411E" w:rsidRPr="00F846A2">
        <w:rPr>
          <w:rFonts w:ascii="Times New Roman" w:hAnsi="Times New Roman" w:cs="Times New Roman"/>
          <w:b/>
          <w:bCs/>
          <w:sz w:val="24"/>
          <w:szCs w:val="24"/>
        </w:rPr>
        <w:t xml:space="preserve"> Data Table</w:t>
      </w:r>
    </w:p>
    <w:tbl>
      <w:tblPr>
        <w:tblStyle w:val="TableGrid"/>
        <w:tblW w:w="0" w:type="auto"/>
        <w:tblLook w:val="04A0"/>
      </w:tblPr>
      <w:tblGrid>
        <w:gridCol w:w="2517"/>
        <w:gridCol w:w="2552"/>
        <w:gridCol w:w="2552"/>
        <w:gridCol w:w="2531"/>
      </w:tblGrid>
      <w:tr w:rsidR="00AB411E" w:rsidRPr="00F846A2" w:rsidTr="00EE0F2A">
        <w:tc>
          <w:tcPr>
            <w:tcW w:w="2754" w:type="dxa"/>
          </w:tcPr>
          <w:p w:rsidR="00AB411E" w:rsidRPr="00F846A2" w:rsidRDefault="00AB411E" w:rsidP="00EE0F2A">
            <w:pPr>
              <w:rPr>
                <w:sz w:val="24"/>
                <w:szCs w:val="24"/>
              </w:rPr>
            </w:pPr>
            <w:r w:rsidRPr="00F846A2">
              <w:rPr>
                <w:sz w:val="24"/>
                <w:szCs w:val="24"/>
              </w:rPr>
              <w:t>Shake #</w:t>
            </w:r>
          </w:p>
        </w:tc>
        <w:tc>
          <w:tcPr>
            <w:tcW w:w="2754" w:type="dxa"/>
          </w:tcPr>
          <w:p w:rsidR="00AB411E" w:rsidRPr="00F846A2" w:rsidRDefault="00AB411E" w:rsidP="00EE0F2A">
            <w:pPr>
              <w:rPr>
                <w:sz w:val="24"/>
                <w:szCs w:val="24"/>
              </w:rPr>
            </w:pPr>
            <w:r w:rsidRPr="00F846A2">
              <w:rPr>
                <w:sz w:val="24"/>
                <w:szCs w:val="24"/>
              </w:rPr>
              <w:t>Trial # 1 (# remaining in sample)</w:t>
            </w:r>
          </w:p>
        </w:tc>
        <w:tc>
          <w:tcPr>
            <w:tcW w:w="2754" w:type="dxa"/>
          </w:tcPr>
          <w:p w:rsidR="00AB411E" w:rsidRPr="00F846A2" w:rsidRDefault="00AB411E" w:rsidP="00EE0F2A">
            <w:pPr>
              <w:rPr>
                <w:sz w:val="24"/>
                <w:szCs w:val="24"/>
              </w:rPr>
            </w:pPr>
            <w:r w:rsidRPr="00F846A2">
              <w:rPr>
                <w:sz w:val="24"/>
                <w:szCs w:val="24"/>
              </w:rPr>
              <w:t>Trial # 2 (# remaining in sample)</w:t>
            </w:r>
          </w:p>
        </w:tc>
        <w:tc>
          <w:tcPr>
            <w:tcW w:w="2754" w:type="dxa"/>
          </w:tcPr>
          <w:p w:rsidR="00AB411E" w:rsidRPr="00F846A2" w:rsidRDefault="00AB411E" w:rsidP="00EE0F2A">
            <w:pPr>
              <w:rPr>
                <w:sz w:val="24"/>
                <w:szCs w:val="24"/>
              </w:rPr>
            </w:pPr>
            <w:r w:rsidRPr="00F846A2">
              <w:rPr>
                <w:sz w:val="24"/>
                <w:szCs w:val="24"/>
              </w:rPr>
              <w:t>Average</w:t>
            </w:r>
          </w:p>
        </w:tc>
      </w:tr>
      <w:tr w:rsidR="00AB411E" w:rsidRPr="00F846A2" w:rsidTr="00EE0F2A">
        <w:tc>
          <w:tcPr>
            <w:tcW w:w="2754" w:type="dxa"/>
          </w:tcPr>
          <w:p w:rsidR="00AB411E" w:rsidRPr="00F846A2" w:rsidRDefault="00AB411E" w:rsidP="00EE0F2A">
            <w:pPr>
              <w:rPr>
                <w:sz w:val="22"/>
                <w:szCs w:val="22"/>
              </w:rPr>
            </w:pPr>
            <w:r w:rsidRPr="00F846A2">
              <w:rPr>
                <w:sz w:val="22"/>
                <w:szCs w:val="22"/>
              </w:rPr>
              <w:t>0 (total in the initial sample)</w:t>
            </w: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r w:rsidR="00AB411E" w:rsidRPr="00F846A2" w:rsidTr="00EE0F2A">
        <w:tc>
          <w:tcPr>
            <w:tcW w:w="2754" w:type="dxa"/>
          </w:tcPr>
          <w:p w:rsidR="00AB411E" w:rsidRPr="00F846A2" w:rsidRDefault="00AB411E" w:rsidP="00EE0F2A">
            <w:pPr>
              <w:rPr>
                <w:sz w:val="22"/>
                <w:szCs w:val="22"/>
              </w:rPr>
            </w:pPr>
          </w:p>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c>
          <w:tcPr>
            <w:tcW w:w="2754" w:type="dxa"/>
          </w:tcPr>
          <w:p w:rsidR="00AB411E" w:rsidRPr="00F846A2" w:rsidRDefault="00AB411E" w:rsidP="00EE0F2A">
            <w:pPr>
              <w:rPr>
                <w:sz w:val="22"/>
                <w:szCs w:val="22"/>
              </w:rPr>
            </w:pPr>
          </w:p>
        </w:tc>
      </w:tr>
    </w:tbl>
    <w:p w:rsidR="00AB411E" w:rsidRPr="00F846A2" w:rsidRDefault="00AB411E" w:rsidP="00AB411E">
      <w:pPr>
        <w:rPr>
          <w:rFonts w:ascii="Times New Roman" w:hAnsi="Times New Roman" w:cs="Times New Roman"/>
        </w:rPr>
      </w:pPr>
    </w:p>
    <w:p w:rsidR="00AB411E" w:rsidRPr="00F846A2" w:rsidRDefault="00AB411E" w:rsidP="00AB411E">
      <w:pPr>
        <w:autoSpaceDE w:val="0"/>
        <w:autoSpaceDN w:val="0"/>
        <w:adjustRightInd w:val="0"/>
        <w:spacing w:after="0"/>
        <w:rPr>
          <w:rFonts w:ascii="Times New Roman" w:hAnsi="Times New Roman" w:cs="Times New Roman"/>
          <w:b/>
          <w:bCs/>
          <w:sz w:val="24"/>
          <w:szCs w:val="24"/>
        </w:rPr>
      </w:pPr>
      <w:r w:rsidRPr="00F846A2">
        <w:rPr>
          <w:rFonts w:ascii="Times New Roman" w:hAnsi="Times New Roman" w:cs="Times New Roman"/>
          <w:b/>
          <w:bCs/>
          <w:sz w:val="24"/>
          <w:szCs w:val="24"/>
        </w:rPr>
        <w:lastRenderedPageBreak/>
        <w:t>Analysis:</w:t>
      </w:r>
    </w:p>
    <w:p w:rsidR="00AB411E" w:rsidRPr="00F846A2" w:rsidRDefault="00AB411E" w:rsidP="00AB411E">
      <w:p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 xml:space="preserve">Using the graph paper provided, construct a graph of N (Number of remaining atoms) on the Y axis and the shake number on the X axis. Use the average of the 2 trials to construct this graph. </w:t>
      </w:r>
    </w:p>
    <w:p w:rsidR="00AB411E" w:rsidRPr="00F846A2" w:rsidRDefault="00AB411E" w:rsidP="00AB411E">
      <w:pPr>
        <w:autoSpaceDE w:val="0"/>
        <w:autoSpaceDN w:val="0"/>
        <w:adjustRightInd w:val="0"/>
        <w:spacing w:after="0"/>
        <w:rPr>
          <w:rFonts w:ascii="Times New Roman" w:hAnsi="Times New Roman" w:cs="Times New Roman"/>
          <w:i/>
          <w:iCs/>
          <w:sz w:val="24"/>
          <w:szCs w:val="24"/>
        </w:rPr>
      </w:pPr>
    </w:p>
    <w:p w:rsidR="00AB411E" w:rsidRPr="00F846A2" w:rsidRDefault="00AB411E" w:rsidP="00AB411E">
      <w:pPr>
        <w:autoSpaceDE w:val="0"/>
        <w:autoSpaceDN w:val="0"/>
        <w:adjustRightInd w:val="0"/>
        <w:spacing w:after="0"/>
        <w:rPr>
          <w:rFonts w:ascii="Times New Roman" w:hAnsi="Times New Roman" w:cs="Times New Roman"/>
          <w:b/>
          <w:bCs/>
          <w:sz w:val="24"/>
          <w:szCs w:val="24"/>
        </w:rPr>
      </w:pPr>
      <w:r w:rsidRPr="00F846A2">
        <w:rPr>
          <w:rFonts w:ascii="Times New Roman" w:hAnsi="Times New Roman" w:cs="Times New Roman"/>
          <w:b/>
          <w:bCs/>
          <w:sz w:val="24"/>
          <w:szCs w:val="24"/>
        </w:rPr>
        <w:t>Conclusions:</w:t>
      </w:r>
    </w:p>
    <w:p w:rsidR="00AB411E" w:rsidRPr="00F846A2" w:rsidRDefault="00AB411E" w:rsidP="00AB411E">
      <w:pPr>
        <w:autoSpaceDE w:val="0"/>
        <w:autoSpaceDN w:val="0"/>
        <w:adjustRightInd w:val="0"/>
        <w:spacing w:after="0"/>
        <w:rPr>
          <w:rFonts w:ascii="Times New Roman" w:hAnsi="Times New Roman" w:cs="Times New Roman"/>
          <w:sz w:val="24"/>
          <w:szCs w:val="24"/>
        </w:rPr>
      </w:pPr>
      <w:r w:rsidRPr="00F846A2">
        <w:rPr>
          <w:rFonts w:ascii="Times New Roman" w:hAnsi="Times New Roman" w:cs="Times New Roman"/>
          <w:sz w:val="24"/>
          <w:szCs w:val="24"/>
        </w:rPr>
        <w:t xml:space="preserve">1. Calculate the half-life of </w:t>
      </w:r>
      <w:proofErr w:type="spellStart"/>
      <w:r w:rsidR="00F846A2" w:rsidRPr="00F846A2">
        <w:rPr>
          <w:rFonts w:ascii="Times New Roman" w:hAnsi="Times New Roman" w:cs="Times New Roman"/>
          <w:bCs/>
          <w:sz w:val="24"/>
          <w:szCs w:val="24"/>
        </w:rPr>
        <w:t>Pennieum</w:t>
      </w:r>
      <w:proofErr w:type="spellEnd"/>
      <w:r w:rsidRPr="00F846A2">
        <w:rPr>
          <w:rFonts w:ascii="Times New Roman" w:hAnsi="Times New Roman" w:cs="Times New Roman"/>
          <w:sz w:val="24"/>
          <w:szCs w:val="24"/>
        </w:rPr>
        <w:t>? (i.e.,</w:t>
      </w:r>
      <w:r w:rsidR="00F846A2">
        <w:rPr>
          <w:rFonts w:ascii="Times New Roman" w:hAnsi="Times New Roman" w:cs="Times New Roman"/>
          <w:sz w:val="24"/>
          <w:szCs w:val="24"/>
        </w:rPr>
        <w:t xml:space="preserve"> </w:t>
      </w:r>
      <w:proofErr w:type="gramStart"/>
      <w:r w:rsidRPr="00F846A2">
        <w:rPr>
          <w:rFonts w:ascii="Times New Roman" w:hAnsi="Times New Roman" w:cs="Times New Roman"/>
          <w:sz w:val="24"/>
          <w:szCs w:val="24"/>
        </w:rPr>
        <w:t>What</w:t>
      </w:r>
      <w:proofErr w:type="gramEnd"/>
      <w:r w:rsidRPr="00F846A2">
        <w:rPr>
          <w:rFonts w:ascii="Times New Roman" w:hAnsi="Times New Roman" w:cs="Times New Roman"/>
          <w:sz w:val="24"/>
          <w:szCs w:val="24"/>
        </w:rPr>
        <w:t xml:space="preserve"> number of shakes are necessary to reduce the</w:t>
      </w:r>
    </w:p>
    <w:p w:rsidR="00AB411E" w:rsidRPr="00F846A2" w:rsidRDefault="00AB411E" w:rsidP="00AB411E">
      <w:pPr>
        <w:autoSpaceDE w:val="0"/>
        <w:autoSpaceDN w:val="0"/>
        <w:adjustRightInd w:val="0"/>
        <w:spacing w:after="0"/>
        <w:rPr>
          <w:rFonts w:ascii="Times New Roman" w:hAnsi="Times New Roman" w:cs="Times New Roman"/>
          <w:sz w:val="24"/>
          <w:szCs w:val="24"/>
        </w:rPr>
      </w:pPr>
      <w:proofErr w:type="gramStart"/>
      <w:r w:rsidRPr="00F846A2">
        <w:rPr>
          <w:rFonts w:ascii="Times New Roman" w:hAnsi="Times New Roman" w:cs="Times New Roman"/>
          <w:sz w:val="24"/>
          <w:szCs w:val="24"/>
        </w:rPr>
        <w:t>radioactive members to one-half the original sample?)</w:t>
      </w:r>
      <w:proofErr w:type="gramEnd"/>
    </w:p>
    <w:p w:rsidR="00AB411E" w:rsidRPr="00F846A2" w:rsidRDefault="00AB411E" w:rsidP="00AB411E">
      <w:pPr>
        <w:rPr>
          <w:rFonts w:ascii="Times New Roman" w:hAnsi="Times New Roman" w:cs="Times New Roman"/>
          <w:sz w:val="24"/>
          <w:szCs w:val="24"/>
        </w:rPr>
      </w:pPr>
    </w:p>
    <w:p w:rsidR="00AB411E" w:rsidRPr="00F846A2" w:rsidRDefault="00AB411E" w:rsidP="00AB411E">
      <w:pPr>
        <w:rPr>
          <w:rFonts w:ascii="Times New Roman" w:hAnsi="Times New Roman" w:cs="Times New Roman"/>
          <w:sz w:val="24"/>
          <w:szCs w:val="24"/>
        </w:rPr>
      </w:pPr>
      <w:r w:rsidRPr="00F846A2">
        <w:rPr>
          <w:rFonts w:ascii="Times New Roman" w:hAnsi="Times New Roman" w:cs="Times New Roman"/>
          <w:sz w:val="24"/>
          <w:szCs w:val="24"/>
        </w:rPr>
        <w:t xml:space="preserve">The shake # should be on the X axis and the remaining number of radioactive isotopes will be the Y axis.  Draw in the curve line </w:t>
      </w:r>
      <w:proofErr w:type="gramStart"/>
      <w:r w:rsidRPr="00F846A2">
        <w:rPr>
          <w:rFonts w:ascii="Times New Roman" w:hAnsi="Times New Roman" w:cs="Times New Roman"/>
          <w:sz w:val="24"/>
          <w:szCs w:val="24"/>
        </w:rPr>
        <w:t>that results</w:t>
      </w:r>
      <w:proofErr w:type="gramEnd"/>
      <w:r w:rsidRPr="00F846A2">
        <w:rPr>
          <w:rFonts w:ascii="Times New Roman" w:hAnsi="Times New Roman" w:cs="Times New Roman"/>
          <w:sz w:val="24"/>
          <w:szCs w:val="24"/>
        </w:rPr>
        <w:t xml:space="preserve">.  </w:t>
      </w:r>
      <w:r w:rsidRPr="00F846A2">
        <w:rPr>
          <w:rFonts w:ascii="Times New Roman" w:hAnsi="Times New Roman" w:cs="Times New Roman"/>
          <w:b/>
          <w:sz w:val="24"/>
          <w:szCs w:val="24"/>
        </w:rPr>
        <w:t>Be sure to make your graph use as much of the graph paper as possible</w:t>
      </w:r>
      <w:r w:rsidR="00421249">
        <w:rPr>
          <w:rFonts w:ascii="Times New Roman" w:hAnsi="Times New Roman" w:cs="Times New Roman"/>
          <w:b/>
          <w:sz w:val="24"/>
          <w:szCs w:val="24"/>
        </w:rPr>
        <w:t>.</w:t>
      </w:r>
    </w:p>
    <w:p w:rsidR="00AB411E" w:rsidRPr="00F846A2" w:rsidRDefault="00AB411E" w:rsidP="00AB411E">
      <w:pPr>
        <w:rPr>
          <w:rFonts w:ascii="Times New Roman" w:hAnsi="Times New Roman" w:cs="Times New Roman"/>
          <w:sz w:val="24"/>
          <w:szCs w:val="24"/>
        </w:rPr>
      </w:pPr>
    </w:p>
    <w:p w:rsidR="00564C0C" w:rsidRDefault="00F846A2">
      <w:r>
        <w:rPr>
          <w:noProof/>
        </w:rPr>
        <w:drawing>
          <wp:inline distT="0" distB="0" distL="0" distR="0">
            <wp:extent cx="5953125" cy="6191250"/>
            <wp:effectExtent l="19050" t="0" r="9525" b="0"/>
            <wp:docPr id="1" name="Picture 1" descr="Large grid graph 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grid graph paper image"/>
                    <pic:cNvPicPr>
                      <a:picLocks noChangeAspect="1" noChangeArrowheads="1"/>
                    </pic:cNvPicPr>
                  </pic:nvPicPr>
                  <pic:blipFill>
                    <a:blip r:embed="rId5"/>
                    <a:srcRect t="8531" b="14455"/>
                    <a:stretch>
                      <a:fillRect/>
                    </a:stretch>
                  </pic:blipFill>
                  <pic:spPr bwMode="auto">
                    <a:xfrm>
                      <a:off x="0" y="0"/>
                      <a:ext cx="5953125" cy="6191250"/>
                    </a:xfrm>
                    <a:prstGeom prst="rect">
                      <a:avLst/>
                    </a:prstGeom>
                    <a:noFill/>
                    <a:ln w="9525">
                      <a:noFill/>
                      <a:miter lim="800000"/>
                      <a:headEnd/>
                      <a:tailEnd/>
                    </a:ln>
                  </pic:spPr>
                </pic:pic>
              </a:graphicData>
            </a:graphic>
          </wp:inline>
        </w:drawing>
      </w:r>
    </w:p>
    <w:sectPr w:rsidR="00564C0C" w:rsidSect="00F846A2">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51F8"/>
    <w:multiLevelType w:val="hybridMultilevel"/>
    <w:tmpl w:val="C5E2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411E"/>
    <w:rsid w:val="00421249"/>
    <w:rsid w:val="00564C0C"/>
    <w:rsid w:val="00AB411E"/>
    <w:rsid w:val="00F8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1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1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11E"/>
    <w:pPr>
      <w:ind w:left="720"/>
      <w:contextualSpacing/>
    </w:pPr>
  </w:style>
  <w:style w:type="paragraph" w:styleId="BalloonText">
    <w:name w:val="Balloon Text"/>
    <w:basedOn w:val="Normal"/>
    <w:link w:val="BalloonTextChar"/>
    <w:uiPriority w:val="99"/>
    <w:semiHidden/>
    <w:unhideWhenUsed/>
    <w:rsid w:val="00F846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2353</Characters>
  <Application>Microsoft Office Word</Application>
  <DocSecurity>0</DocSecurity>
  <Lines>19</Lines>
  <Paragraphs>5</Paragraphs>
  <ScaleCrop>false</ScaleCrop>
  <Company>Charlotte Mecklenburg Schools</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2012-09-11T20:01:00Z</dcterms:created>
  <dcterms:modified xsi:type="dcterms:W3CDTF">2012-09-11T20:12:00Z</dcterms:modified>
</cp:coreProperties>
</file>